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6ED57" w14:textId="082AB665" w:rsidR="00CC6E22" w:rsidRPr="006C2F51" w:rsidRDefault="008748DE" w:rsidP="00CC6E22">
      <w:pPr>
        <w:pStyle w:val="BodyText"/>
        <w:spacing w:before="120" w:after="0"/>
        <w:ind w:firstLine="0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[</w:t>
      </w:r>
      <w:r w:rsidRPr="008748DE">
        <w:rPr>
          <w:rFonts w:ascii="Times New Roman" w:eastAsia="Times New Roman" w:hAnsi="Times New Roman" w:cs="Times New Roman"/>
          <w:b/>
          <w:smallCaps/>
          <w:sz w:val="28"/>
          <w:szCs w:val="28"/>
          <w:u w:val="single"/>
        </w:rPr>
        <w:t>Name of Company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]</w:t>
      </w:r>
    </w:p>
    <w:p w14:paraId="396A4C4F" w14:textId="77777777" w:rsidR="006C2F51" w:rsidRDefault="006C2F51" w:rsidP="00CC6E22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BEDB784" w14:textId="49D632DE" w:rsidR="00CC6E22" w:rsidRPr="006C2F51" w:rsidRDefault="00CC6E22" w:rsidP="00CC6E22">
      <w:pPr>
        <w:autoSpaceDE w:val="0"/>
        <w:autoSpaceDN w:val="0"/>
        <w:adjustRightInd w:val="0"/>
        <w:snapToGrid w:val="0"/>
        <w:jc w:val="center"/>
        <w:rPr>
          <w:rFonts w:ascii="Times New Roman" w:eastAsia="Times New Roman" w:hAnsi="Times New Roman" w:cs="Times New Roman"/>
          <w:b/>
          <w:color w:val="000000"/>
          <w:lang w:val="x-none"/>
        </w:rPr>
      </w:pPr>
      <w:r w:rsidRPr="006C2F51">
        <w:rPr>
          <w:rFonts w:ascii="Times New Roman" w:eastAsia="Times New Roman" w:hAnsi="Times New Roman" w:cs="Times New Roman"/>
          <w:b/>
          <w:color w:val="000000"/>
        </w:rPr>
        <w:t xml:space="preserve">Incentive Compensation </w:t>
      </w:r>
      <w:r w:rsidR="00C30C38" w:rsidRPr="006C2F51">
        <w:rPr>
          <w:rFonts w:ascii="Times New Roman" w:eastAsia="Times New Roman" w:hAnsi="Times New Roman" w:cs="Times New Roman"/>
          <w:b/>
          <w:color w:val="000000"/>
        </w:rPr>
        <w:t>Recovery</w:t>
      </w:r>
      <w:r w:rsidRPr="006C2F51">
        <w:rPr>
          <w:rFonts w:ascii="Times New Roman" w:eastAsia="Times New Roman" w:hAnsi="Times New Roman" w:cs="Times New Roman"/>
          <w:b/>
          <w:color w:val="000000"/>
        </w:rPr>
        <w:t xml:space="preserve"> Policy</w:t>
      </w:r>
      <w:r w:rsidR="00017F96" w:rsidRPr="006C2F51">
        <w:rPr>
          <w:rFonts w:ascii="Times New Roman" w:eastAsia="Times New Roman" w:hAnsi="Times New Roman" w:cs="Times New Roman"/>
          <w:b/>
          <w:color w:val="000000"/>
        </w:rPr>
        <w:t xml:space="preserve"> (the “Policy”</w:t>
      </w:r>
      <w:r w:rsidR="00971598" w:rsidRPr="006C2F51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216F9B0A" w14:textId="77777777" w:rsidR="00FD7824" w:rsidRPr="006C2F51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lang w:val="x-none"/>
        </w:rPr>
      </w:pPr>
    </w:p>
    <w:p w14:paraId="16F1605A" w14:textId="57BA6095" w:rsidR="00CC6E22" w:rsidRPr="00AE6DDA" w:rsidRDefault="00CC6E22" w:rsidP="00954F52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6C2F51">
        <w:rPr>
          <w:rFonts w:ascii="Times New Roman" w:eastAsia="Times New Roman" w:hAnsi="Times New Roman" w:cs="Times New Roman"/>
          <w:b/>
          <w:color w:val="000000"/>
          <w:lang w:val="x-none"/>
        </w:rPr>
        <w:t xml:space="preserve">1. </w:t>
      </w:r>
      <w:r w:rsidR="006C2F51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="00C30C38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Recovery of Excess Incentive Compensation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If </w:t>
      </w:r>
      <w:r w:rsidR="008748DE">
        <w:rPr>
          <w:rFonts w:ascii="Times New Roman" w:eastAsia="Times New Roman" w:hAnsi="Times New Roman" w:cs="Times New Roman"/>
          <w:color w:val="000000"/>
          <w:sz w:val="22"/>
          <w:szCs w:val="22"/>
        </w:rPr>
        <w:t>[</w:t>
      </w:r>
      <w:r w:rsidR="008748DE" w:rsidRPr="008748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NAME OF COMPANY</w:t>
      </w:r>
      <w:r w:rsidR="008748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]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the “Company”) is required to </w:t>
      </w:r>
      <w:r w:rsidR="00DB7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prepare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 Restatement</w:t>
      </w:r>
      <w:r w:rsidR="00FF14E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the 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Company’s </w:t>
      </w:r>
      <w:r w:rsidR="00610BDC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board of directors (the “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Board</w:t>
      </w:r>
      <w:r w:rsidR="00610BDC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”)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shall, unless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the </w:t>
      </w:r>
      <w:r w:rsidR="00610BDC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Board’s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Compensation Committee determines it </w:t>
      </w:r>
      <w:r w:rsidR="00E10F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be </w:t>
      </w:r>
      <w:r w:rsidR="00DB7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Impracticable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,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take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BD4339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reasonably prompt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action to </w:t>
      </w:r>
      <w:r w:rsidR="00C30C38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recover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all Recoverable Compensation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from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any Covered Person. </w:t>
      </w:r>
      <w:r w:rsidR="006C2F5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Company’s obligation to recover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Recoverable</w:t>
      </w:r>
      <w:r w:rsidR="006C2F5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Compensation is not dependent on if or when the restated financial statements are filed. 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Subject to applicable law, the Board may seek to </w:t>
      </w:r>
      <w:r w:rsidR="00C30C38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recover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Recoverable Compensation by requiring a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Covered Person to repay such amount to the Company;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by adding “holdback” or deferral policies to incentive compensation; by adding post-vesting “holding” or “no transfer” policies to equity awards;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by set-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off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 Covered Person’s other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compensation; by reducing future compensation; or by such other means or combination of means as the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Board, in its sole discretion, determines to be appropriate.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This Policy is in addition to (and not in lieu of) any right of repayment, forfeiture or 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off-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set against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any Covered Person that may be available under applicable law or otherwise (whether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implemented prior to or </w:t>
      </w:r>
      <w:r w:rsidR="00A61B9C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after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adoption of th</w:t>
      </w:r>
      <w:r w:rsidR="00437F85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is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Policy)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.  The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Board may, in its sole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discretion and in the exercise of its business judgment, determine whether and to what extent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additional action is appropriate to address the circumstances surrounding </w:t>
      </w:r>
      <w:r w:rsidR="00A61B9C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Restatement to minimize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the likelihood of any recurrence and to impose such other discipline as it deems appropriate.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7BEC7974" w14:textId="77777777" w:rsidR="00FD7824" w:rsidRPr="00AE6DD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2100601A" w14:textId="6802A930" w:rsidR="00CC6E22" w:rsidRPr="00AE6DDA" w:rsidRDefault="00CC6E2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2.</w:t>
      </w:r>
      <w:r w:rsidR="006C2F5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Administration of Policy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The Board shall have full authority to administer</w:t>
      </w:r>
      <w:r w:rsidR="00361A9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, amend or terminate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this Policy. The Board shall, subject to the provisions of this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Policy, make such determinations and interpretations and take such actions in connection with this Policy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as it deems necessary, appropriate or advisable. All determinations and interpretations made by the Board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shall be </w:t>
      </w:r>
      <w:r w:rsidR="00017F96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final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, binding and conclusive.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The Board may delegate any of its powers under this Policy to the Compensation Committee of the Board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or any subcommittee or delegate thereof.</w:t>
      </w:r>
    </w:p>
    <w:p w14:paraId="3260575B" w14:textId="77777777" w:rsidR="00FD7824" w:rsidRPr="00AE6DDA" w:rsidRDefault="00FD7824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</w:p>
    <w:p w14:paraId="78A2D641" w14:textId="23923D52" w:rsidR="00CC6E22" w:rsidRPr="00AE6DDA" w:rsidRDefault="00CC6E2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3. </w:t>
      </w:r>
      <w:r w:rsidR="006C2F5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Acknowledgement by </w:t>
      </w:r>
      <w:r w:rsidR="000070C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Executive Officers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The Board shall provide notice </w:t>
      </w:r>
      <w:r w:rsidR="00512E9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and seek written acknowledgement of this Policy from each</w:t>
      </w:r>
      <w:r w:rsidR="000070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Executive Officer</w:t>
      </w:r>
      <w:r w:rsidR="00361A9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provided that the failure to provide such notice or obtain such acknowledgement shall have no impact on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the applicability or enforceability of this Policy.</w:t>
      </w:r>
    </w:p>
    <w:p w14:paraId="1631FDC7" w14:textId="77777777" w:rsidR="00FD7824" w:rsidRPr="00AE6DD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16B9DE8C" w14:textId="11D8A1C4" w:rsidR="00CC6E22" w:rsidRPr="00AE6DDA" w:rsidRDefault="00CC6E22" w:rsidP="00954F52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4. </w:t>
      </w:r>
      <w:r w:rsidR="006C2F5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 w:rsidR="00CF3BF8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No Indemnification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CF3BF8" w:rsidRPr="00AE6D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Notwithstanding the terms of any </w:t>
      </w:r>
      <w:r w:rsidR="00954F52" w:rsidRPr="00AE6D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of the Company’s organizational documents, any corporate policy or any contract, no Covered Person shall be indemnified against the loss of any Recoverable Compensation.  </w:t>
      </w:r>
    </w:p>
    <w:p w14:paraId="66791EA7" w14:textId="77777777" w:rsidR="00FD7824" w:rsidRPr="00AE6DDA" w:rsidRDefault="00FD7824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6BBC48A4" w14:textId="4E9810E3" w:rsidR="00CC6E22" w:rsidRPr="00AE6DDA" w:rsidRDefault="00361A9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5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. </w:t>
      </w:r>
      <w:r w:rsidR="006C2F5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Disclosures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05486F" w:rsidRPr="00AE6D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 xml:space="preserve">The Company shall make all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disclosures and </w:t>
      </w:r>
      <w:r w:rsidR="0005486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filings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with respect to this Policy</w:t>
      </w:r>
      <w:r w:rsidR="00E277F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maintain all documents and records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05486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that are required by </w:t>
      </w:r>
      <w:r w:rsidR="003854E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applicable rules and forms of the U.S. Securities and Exchange Commission (the “SEC”)  (including, without limitation,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Rule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10D-1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promulgated under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the Securities Exchange Act of 1934, as amended</w:t>
      </w:r>
      <w:r w:rsidR="0005486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(the “Exchange Act”)</w:t>
      </w:r>
      <w:r w:rsidR="003854E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05486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</w:t>
      </w:r>
      <w:r w:rsidR="00954F5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any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applicable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xchange listing</w:t>
      </w:r>
      <w:r w:rsidR="00FD782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standard.</w:t>
      </w:r>
    </w:p>
    <w:p w14:paraId="66069F8B" w14:textId="77777777" w:rsidR="00FD7824" w:rsidRPr="00AE6DDA" w:rsidRDefault="00FD7824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</w:p>
    <w:p w14:paraId="5AB40402" w14:textId="26AFDA63" w:rsidR="00CC6E22" w:rsidRPr="00AE6DDA" w:rsidRDefault="00361A92" w:rsidP="00FD7824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6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. </w:t>
      </w:r>
      <w:r w:rsidR="006C2F51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</w:t>
      </w:r>
      <w:r w:rsidR="004F4B6F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Definitions</w:t>
      </w:r>
      <w:r w:rsidR="00FD7824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.  </w:t>
      </w:r>
      <w:r w:rsidR="0005486F" w:rsidRPr="00AE6DDA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In addition to terms otherwise defined in this Policy, the following terms, when used in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this Policy, shall have the following meanings:</w:t>
      </w:r>
    </w:p>
    <w:p w14:paraId="327AB0CD" w14:textId="77777777" w:rsidR="00610BDC" w:rsidRPr="00AE6DDA" w:rsidRDefault="00610BDC" w:rsidP="00CC6E22">
      <w:pPr>
        <w:autoSpaceDE w:val="0"/>
        <w:autoSpaceDN w:val="0"/>
        <w:adjustRightInd w:val="0"/>
        <w:snapToGrid w:val="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7CB8DFC4" w14:textId="6BB031A3" w:rsidR="00CC6E22" w:rsidRPr="00AE6DDA" w:rsidRDefault="001926BD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Applicable Period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”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means the three complete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4F4B6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fiscal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years preceding the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earlier </w:t>
      </w:r>
      <w:r w:rsidR="007B5B10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occur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of: 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(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)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date</w:t>
      </w:r>
      <w:r w:rsidR="00361A9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the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Board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, a committee of the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Board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, or the officer or officers of the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Company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authorized to take such action if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Board 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action is not required, concludes, or reasonably should have concluded, that the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Company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is required to prepare a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Restatement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; or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(ii) the 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date a court, regulator, or other legally 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lastRenderedPageBreak/>
        <w:t xml:space="preserve">authorized body directs the 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Company </w:t>
      </w:r>
      <w:r w:rsidR="00EA6584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to prepare a</w:t>
      </w:r>
      <w:r w:rsidR="00713F8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Restatement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.</w:t>
      </w:r>
      <w:r w:rsidR="00B74065" w:rsidRPr="00AE6DDA">
        <w:rPr>
          <w:rFonts w:ascii="Times New Roman" w:hAnsi="Times New Roman" w:cs="Times New Roman"/>
          <w:sz w:val="22"/>
          <w:szCs w:val="22"/>
        </w:rPr>
        <w:t xml:space="preserve">  “Applicable Period” also includes, in addition to the three fiscal year period described in the preceding sentence, any transition period (that results from a change in the Company’s fiscal year) within or immediately following that completed three fiscal year period; </w:t>
      </w:r>
      <w:r w:rsidR="00B74065" w:rsidRPr="00AE6DDA">
        <w:rPr>
          <w:rFonts w:ascii="Times New Roman" w:hAnsi="Times New Roman" w:cs="Times New Roman"/>
          <w:i/>
          <w:iCs/>
          <w:sz w:val="22"/>
          <w:szCs w:val="22"/>
        </w:rPr>
        <w:t xml:space="preserve">provided, further, </w:t>
      </w:r>
      <w:r w:rsidR="00B74065" w:rsidRPr="00AE6DDA">
        <w:rPr>
          <w:rFonts w:ascii="Times New Roman" w:hAnsi="Times New Roman" w:cs="Times New Roman"/>
          <w:sz w:val="22"/>
          <w:szCs w:val="22"/>
        </w:rPr>
        <w:t>a transition period between the last day of the Company’s previous fiscal year end and the first day of its new fiscal year that comprises a period of nine to 12 months would be deemed a completed fiscal year.</w:t>
      </w:r>
    </w:p>
    <w:p w14:paraId="4C004452" w14:textId="77777777" w:rsidR="004F4B6F" w:rsidRPr="00AE6DD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</w:p>
    <w:p w14:paraId="4DE954C2" w14:textId="0F7DBB22" w:rsidR="00CC6E22" w:rsidRPr="00AE6DD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Covered Person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”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means any person who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receive</w:t>
      </w:r>
      <w:r w:rsidR="00361A9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Recoverable Compensation.</w:t>
      </w:r>
    </w:p>
    <w:p w14:paraId="505DBDB9" w14:textId="77777777" w:rsidR="004F4B6F" w:rsidRPr="00AE6DD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</w:p>
    <w:p w14:paraId="1526F334" w14:textId="1E05B349" w:rsidR="00AE6DDA" w:rsidRPr="00AE6DDA" w:rsidRDefault="00AE6DDA" w:rsidP="00AE6DDA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Exchange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”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means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any national securities exchange or national securities association upon which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 Company has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class of securities listed.</w:t>
      </w:r>
    </w:p>
    <w:p w14:paraId="4D6D5046" w14:textId="77777777" w:rsidR="00AE6DDA" w:rsidRDefault="00AE6DDA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6FC49C8E" w14:textId="2E6D8436" w:rsidR="00CC6E22" w:rsidRPr="00AE6DD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 xml:space="preserve">Executive 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Officer”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includes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the Company’s president, principal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financial officer, principal accounting officer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(or if there is no such accounting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officer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, the controller), any vice-president of the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Company in charge of a principal business unit, division, or function (such as sales, administration, or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finance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), any other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officer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who performs a policy-making function, or any other person </w:t>
      </w:r>
      <w:r w:rsidR="00BD4339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(including any executive officer of the Company’s</w:t>
      </w:r>
      <w:r w:rsidR="00C30C38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subsidiaries or</w:t>
      </w:r>
      <w:r w:rsidR="00BD4339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affiliates)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who performs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similar policy-making functions for the Company.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At a minimum, the term “Executive Officer” shall include all executive officers identified in SEC filings pursuant to Item 401(b) of Regulation S-K</w:t>
      </w:r>
      <w:r w:rsidR="00C12A69">
        <w:rPr>
          <w:rFonts w:ascii="Times New Roman" w:eastAsia="Times New Roman" w:hAnsi="Times New Roman" w:cs="Times New Roman"/>
          <w:color w:val="000000"/>
          <w:sz w:val="22"/>
          <w:szCs w:val="22"/>
        </w:rPr>
        <w:t>, 17 C.F.R. §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>229.</w:t>
      </w:r>
      <w:r w:rsidR="00C12A69">
        <w:rPr>
          <w:rFonts w:ascii="Times New Roman" w:eastAsia="Times New Roman" w:hAnsi="Times New Roman" w:cs="Times New Roman"/>
          <w:color w:val="000000"/>
          <w:sz w:val="22"/>
          <w:szCs w:val="22"/>
        </w:rPr>
        <w:t>401(b)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9D44C84" w14:textId="77777777" w:rsidR="004F4B6F" w:rsidRPr="00AE6DDA" w:rsidRDefault="004F4B6F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</w:p>
    <w:p w14:paraId="3F2CD280" w14:textId="524B48DE" w:rsidR="00CC6E22" w:rsidRPr="00AE6DD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Financial Reporting Measure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”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means a measure that is determined and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presented in accordance with the accounting principles used in preparing the Company’s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financial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statements, and any measure that is derived wholly or in part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(including “non-GAAP”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financial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measures, such as those appearing in earnings releases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from such measure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E910FD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; provided, however, that any such measure need not be presented within the Company’s financial statements or included in a filing made with the SEC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. Examples of Financial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Reporting Measures include measures based on: revenues, net income, operating income,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financial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ratios,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EBITDA, liquidity measures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(such as free cash flow)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, return measures (such as return on assets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 return on invested capital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),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profitability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of one or more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segments, and cost per employee. </w:t>
      </w:r>
      <w:r w:rsidR="008748DE">
        <w:rPr>
          <w:rFonts w:ascii="Times New Roman" w:eastAsia="Times New Roman" w:hAnsi="Times New Roman" w:cs="Times New Roman"/>
          <w:color w:val="000000"/>
          <w:sz w:val="22"/>
          <w:szCs w:val="22"/>
        </w:rPr>
        <w:t>[</w:t>
      </w:r>
      <w:r w:rsidR="008748DE" w:rsidRPr="008748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>NOTE – MODIFY TO REFERENCE FINANCIAL MEASURES USED BY OR APPLICABLE TO THE COMPANY</w:t>
      </w:r>
      <w:r w:rsidR="008748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]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Stock price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and total shareholder return</w:t>
      </w:r>
      <w:r w:rsidR="00E277F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(“TSR”)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E277F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also are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Financial Reporting Measures.</w:t>
      </w:r>
      <w:r w:rsidR="00E910FD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</w:p>
    <w:p w14:paraId="09B4CF14" w14:textId="77777777" w:rsidR="00017F96" w:rsidRPr="00AE6DD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25B20383" w14:textId="18AF0228" w:rsidR="00DB7AD3" w:rsidRPr="00AE6DDA" w:rsidRDefault="00DB7AD3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I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mpracticable”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means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after exercising a normal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due process review of all the relevant facts and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ircumstances and taking all steps required by Exchange Act Rule 10D-1 and any applicable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xchange listing standard, the Compensation Committee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determines that recovery of the 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>Recoverable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Compensation is impracticable because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(i) 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it has 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determine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 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direct expense that the Company would pay to a third party to assist in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enforcing this Policy and 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recovering the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otherwise Recoverable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Compensation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would exceed the amount to be recovered; (ii)</w:t>
      </w:r>
      <w:r w:rsidR="00184DA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it has 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conclude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 the recovery of the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Recoverable </w:t>
      </w:r>
      <w:r w:rsidR="007357D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Compensation would violate home country law adopted prior to November 28, 2022; 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or (iii) it has determined that the recovery of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Recoverable 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Compensation 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would </w:t>
      </w:r>
      <w:r w:rsidR="00DD26AF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cause a tax-qualified retirement plan, under which </w:t>
      </w:r>
      <w:r w:rsidR="00DD26AF" w:rsidRPr="00AE6DDA">
        <w:rPr>
          <w:rFonts w:ascii="Times New Roman" w:hAnsi="Times New Roman" w:cs="Times New Roman"/>
          <w:sz w:val="22"/>
          <w:szCs w:val="22"/>
        </w:rPr>
        <w:t xml:space="preserve">benefits are broadly available to </w:t>
      </w:r>
      <w:r w:rsidR="009A1861" w:rsidRPr="00AE6DDA">
        <w:rPr>
          <w:rFonts w:ascii="Times New Roman" w:hAnsi="Times New Roman" w:cs="Times New Roman"/>
          <w:sz w:val="22"/>
          <w:szCs w:val="22"/>
        </w:rPr>
        <w:t xml:space="preserve">the Company’s </w:t>
      </w:r>
      <w:r w:rsidR="00DD26AF" w:rsidRPr="00AE6DDA">
        <w:rPr>
          <w:rFonts w:ascii="Times New Roman" w:hAnsi="Times New Roman" w:cs="Times New Roman"/>
          <w:sz w:val="22"/>
          <w:szCs w:val="22"/>
        </w:rPr>
        <w:t>employees, to fail to meet the requirements of 26 U.S.C. 401(a)(13) or 26 U.S.C. 411(a) and regulations thereunder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.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The Company must</w:t>
      </w:r>
      <w:r w:rsidR="00293640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(i) </w:t>
      </w:r>
      <w:r w:rsidR="0029364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 the case of clause (i)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 the preceding sentence, </w:t>
      </w:r>
      <w:r w:rsidR="0029364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prior to making that determination, make a reasonable attempt to recover any Recoverable Compensation, </w:t>
      </w:r>
      <w:r w:rsidR="00AE6DDA" w:rsidRPr="00AE6DDA">
        <w:rPr>
          <w:rFonts w:ascii="Times New Roman" w:hAnsi="Times New Roman" w:cs="Times New Roman"/>
          <w:sz w:val="22"/>
          <w:szCs w:val="22"/>
        </w:rPr>
        <w:t xml:space="preserve">document such reasonable attempt(s) to recover, and provide that documentation to the Exchange; and (ii) </w:t>
      </w:r>
      <w:r w:rsidR="00293640">
        <w:rPr>
          <w:rFonts w:ascii="Times New Roman" w:hAnsi="Times New Roman" w:cs="Times New Roman"/>
          <w:sz w:val="22"/>
          <w:szCs w:val="22"/>
        </w:rPr>
        <w:t xml:space="preserve">in the case of clause (ii) of the preceding sentence, </w:t>
      </w:r>
      <w:r w:rsidR="00AE6DDA" w:rsidRPr="00AE6DDA">
        <w:rPr>
          <w:rFonts w:ascii="Times New Roman" w:hAnsi="Times New Roman" w:cs="Times New Roman"/>
          <w:sz w:val="22"/>
          <w:szCs w:val="22"/>
        </w:rPr>
        <w:t xml:space="preserve">obtain an opinion of home country counsel, acceptable to the Exchange, that recovery would result in such a violation, and provide </w:t>
      </w:r>
      <w:r w:rsidR="00AE6DDA">
        <w:rPr>
          <w:rFonts w:ascii="Times New Roman" w:hAnsi="Times New Roman" w:cs="Times New Roman"/>
          <w:sz w:val="22"/>
          <w:szCs w:val="22"/>
        </w:rPr>
        <w:t xml:space="preserve">that </w:t>
      </w:r>
      <w:r w:rsidR="00AE6DDA" w:rsidRPr="00AE6DDA">
        <w:rPr>
          <w:rFonts w:ascii="Times New Roman" w:hAnsi="Times New Roman" w:cs="Times New Roman"/>
          <w:sz w:val="22"/>
          <w:szCs w:val="22"/>
        </w:rPr>
        <w:t>opinion to the Exchange.</w:t>
      </w:r>
    </w:p>
    <w:p w14:paraId="57BEE74E" w14:textId="77777777" w:rsidR="00DB7AD3" w:rsidRPr="00AE6DDA" w:rsidRDefault="00DB7AD3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519F6876" w14:textId="3AFC8AC9" w:rsidR="00CC6E22" w:rsidRPr="00AE6DD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Incentive-Based Compensation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”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means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any compensation that is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granted, earned, or vested based wholly or in part upon the attainment of a Financial Reporting Measure</w:t>
      </w:r>
      <w:r w:rsidR="00CF3BF8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however it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does not include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(i)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base salaries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; (ii)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discretionary cash bonuses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; (iii)</w:t>
      </w:r>
      <w:r w:rsidR="003A3416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awards (either cash or equity) that are based </w:t>
      </w:r>
      <w:r w:rsidR="003A3416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upon subjective, strategic or operational standards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and 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(iv)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equity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awards that vest solely on the passage of time.</w:t>
      </w:r>
    </w:p>
    <w:p w14:paraId="4F43B084" w14:textId="77777777" w:rsidR="00017F96" w:rsidRPr="00AE6DD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50B538FA" w14:textId="4BAF08F2" w:rsidR="00CC6E22" w:rsidRPr="00AE6DD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Received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” –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Incentive-Based Compensation is deemed “Received” in </w:t>
      </w:r>
      <w:r w:rsidR="00617D7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any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Company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fiscal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period during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which the Financial Reporting Measure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specified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in the Incentive-Based Compensation award is attained,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even if the payment or grant of the Incentive-Based Compensation occurs after the end of that period.</w:t>
      </w:r>
      <w:r w:rsidR="00154B10" w:rsidRPr="00AE6DDA">
        <w:rPr>
          <w:rFonts w:ascii="Times New Roman" w:eastAsia="Times New Roman" w:hAnsi="Times New Roman" w:cs="Times New Roman"/>
          <w:color w:val="FF0000"/>
          <w:sz w:val="22"/>
          <w:szCs w:val="22"/>
        </w:rPr>
        <w:t xml:space="preserve"> </w:t>
      </w:r>
    </w:p>
    <w:p w14:paraId="54A49789" w14:textId="77777777" w:rsidR="00017F96" w:rsidRPr="00AE6DD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61F28EE6" w14:textId="1210F66A" w:rsidR="00CC6E22" w:rsidRPr="00AE6DDA" w:rsidRDefault="004D6874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Recoverable Compensation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”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means </w:t>
      </w:r>
      <w:r w:rsidR="003A4D2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Incentive-Based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Compensation (calculated on a pre-tax basis) Received </w:t>
      </w:r>
      <w:r w:rsidR="00617D74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after </w:t>
      </w:r>
      <w:r w:rsidR="008748DE">
        <w:rPr>
          <w:rFonts w:ascii="Times New Roman" w:eastAsia="Times New Roman" w:hAnsi="Times New Roman" w:cs="Times New Roman"/>
          <w:color w:val="000000"/>
          <w:sz w:val="22"/>
          <w:szCs w:val="22"/>
        </w:rPr>
        <w:t>[</w:t>
      </w:r>
      <w:r w:rsidR="008748DE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INSERT DATE THAT IS 60 DAYS AFTER EFFECTIVE DATE OF LISTING STANDARD] </w:t>
      </w:r>
      <w:r w:rsidR="003A4D2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 w:rsidR="000070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Covered P</w:t>
      </w:r>
      <w:r w:rsidR="000070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erson: (i) after beginning service as an Executive Officer; (ii) who served as an Executive Officer at any time during the performance period for that Incentive-Based Compensation; (iii) while the Company had a </w:t>
      </w:r>
      <w:bookmarkStart w:id="0" w:name="_Hlk132538759"/>
      <w:r w:rsidR="000070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class of securities listed on a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n Exchange</w:t>
      </w:r>
      <w:bookmarkEnd w:id="0"/>
      <w:r w:rsidR="000070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and 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(iv) during the Applicable Period</w:t>
      </w:r>
      <w:r w:rsidR="00E10F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that exceeded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the amount of 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ncentive-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ased 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ompensation that otherwise would have been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R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eceived had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the amount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been determined based on the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Financial Performing Measures, as </w:t>
      </w:r>
      <w:r w:rsidR="009A186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reflected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in the Restatement</w:t>
      </w:r>
      <w:r w:rsidR="0062319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With respect to Incentive-Based Compensation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based on stock price or </w:t>
      </w:r>
      <w:r w:rsidR="00E277F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TSR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, whe</w:t>
      </w:r>
      <w:r w:rsidR="00E277F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n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the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amount of erroneously awarded compensation is not subject to mathematical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recalculation directly from the information in an accounting restatement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(i)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amount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must be based on a reasonable estimate of the effect of the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Restatement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on the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stock price or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TSR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upon which the 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Incentive-Based Compensation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Received by the Covered Person originally 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was</w:t>
      </w:r>
      <w:r w:rsidR="007B170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6C296A">
        <w:rPr>
          <w:rFonts w:ascii="Times New Roman" w:eastAsia="Times New Roman" w:hAnsi="Times New Roman" w:cs="Times New Roman"/>
          <w:color w:val="000000"/>
          <w:sz w:val="22"/>
          <w:szCs w:val="22"/>
        </w:rPr>
        <w:t>based</w:t>
      </w:r>
      <w:r w:rsidR="00AE6DDA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; and (ii) the Company must maintain documentation of the determination of the reasonable estimate and provide such documentation to </w:t>
      </w:r>
      <w:r w:rsid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the Exchange</w:t>
      </w:r>
      <w:r w:rsidR="005F7CB2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E206A2C" w14:textId="77777777" w:rsidR="00017F96" w:rsidRPr="00AE6DDA" w:rsidRDefault="00017F96" w:rsidP="00D21AD3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</w:pPr>
    </w:p>
    <w:p w14:paraId="0A4F9C5A" w14:textId="5120EB06" w:rsidR="00CC6E22" w:rsidRPr="00AE6DDA" w:rsidRDefault="004D6874" w:rsidP="00567DCE">
      <w:pPr>
        <w:autoSpaceDE w:val="0"/>
        <w:autoSpaceDN w:val="0"/>
        <w:adjustRightInd w:val="0"/>
        <w:snapToGrid w:val="0"/>
        <w:ind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“</w:t>
      </w:r>
      <w:r w:rsidR="00CC6E22"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  <w:lang w:val="x-none"/>
        </w:rPr>
        <w:t>Restatement</w:t>
      </w:r>
      <w:r w:rsidRPr="00AE6DDA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”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means an accounting restatement of any of the Company’s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financial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statements due to the Company’s material noncompliance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with any </w:t>
      </w:r>
      <w:r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financial </w:t>
      </w:r>
      <w:r w:rsidR="00CC6E22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reporting requirement under U.S. securities laws, </w:t>
      </w:r>
      <w:r w:rsidR="003854E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including any required accounting restatement to correct an error in previously issued financial statements that is material to the previously issued financial statements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(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often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referred to as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“Big R” restatement)</w:t>
      </w:r>
      <w:r w:rsidR="003854EE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, or that would result in a material misstatement if the error were corrected in the current period or left uncorrected in the current period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(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often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 xml:space="preserve"> referred to as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“little r” restatement</w:t>
      </w:r>
      <w:r w:rsidR="004C19C1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).   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>A Restatement does not include situations in which financial statement</w:t>
      </w:r>
      <w:r w:rsidR="009E7613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changes did not result from material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non-compliance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with financial reporting requirements, such as, but not limited to</w:t>
      </w:r>
      <w:r w:rsidR="00D93FD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retrospective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: (i) application of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a change in accounting principles; (ii) revision to reportable segment information due to a change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in the structure of the Company’s internal organization; (iii) reclassification due to a discontinued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operation; (iv) application of a change in reporting entity, such as from a reorganization of entities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under common control; (v) adjustment to provision amounts in connection with a prior business</w:t>
      </w:r>
      <w:r w:rsidR="00567DC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D21AD3" w:rsidRPr="00AE6DDA">
        <w:rPr>
          <w:rFonts w:ascii="Times New Roman" w:eastAsia="Times New Roman" w:hAnsi="Times New Roman" w:cs="Times New Roman"/>
          <w:color w:val="000000"/>
          <w:sz w:val="22"/>
          <w:szCs w:val="22"/>
          <w:lang w:val="x-none"/>
        </w:rPr>
        <w:t>combination; and (vi) revision for stock splits,</w:t>
      </w:r>
      <w:r w:rsidR="00D93FDE" w:rsidRPr="00AE6DD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stock dividends, reverse stock splits or other changes in capital structure.</w:t>
      </w:r>
    </w:p>
    <w:p w14:paraId="69D6151A" w14:textId="420D7E03" w:rsidR="00057D1B" w:rsidRPr="00AE6DDA" w:rsidRDefault="00057D1B" w:rsidP="001926BD">
      <w:pPr>
        <w:ind w:left="720"/>
        <w:rPr>
          <w:rFonts w:ascii="Times New Roman" w:hAnsi="Times New Roman" w:cs="Times New Roman"/>
          <w:sz w:val="22"/>
          <w:szCs w:val="22"/>
        </w:rPr>
      </w:pPr>
    </w:p>
    <w:p w14:paraId="1AA8128F" w14:textId="3CDCA6C8" w:rsidR="00CC6E22" w:rsidRPr="00AE6DDA" w:rsidRDefault="00CC6E22">
      <w:pPr>
        <w:rPr>
          <w:rFonts w:ascii="Times New Roman" w:hAnsi="Times New Roman" w:cs="Times New Roman"/>
          <w:sz w:val="22"/>
          <w:szCs w:val="22"/>
        </w:rPr>
      </w:pPr>
    </w:p>
    <w:p w14:paraId="77F70E49" w14:textId="39B4BC47" w:rsidR="00CC6E22" w:rsidRPr="00AE6DDA" w:rsidRDefault="00CC6E22">
      <w:pPr>
        <w:rPr>
          <w:rFonts w:ascii="Times New Roman" w:hAnsi="Times New Roman" w:cs="Times New Roman"/>
          <w:sz w:val="22"/>
          <w:szCs w:val="22"/>
        </w:rPr>
      </w:pPr>
      <w:r w:rsidRPr="00AE6DDA">
        <w:rPr>
          <w:rFonts w:ascii="Times New Roman" w:hAnsi="Times New Roman" w:cs="Times New Roman"/>
          <w:sz w:val="22"/>
          <w:szCs w:val="22"/>
        </w:rPr>
        <w:t xml:space="preserve">Adopted by the Board of Directors on </w:t>
      </w:r>
      <w:r w:rsidRPr="008748DE">
        <w:rPr>
          <w:rFonts w:ascii="Times New Roman" w:hAnsi="Times New Roman" w:cs="Times New Roman"/>
          <w:sz w:val="22"/>
          <w:szCs w:val="22"/>
        </w:rPr>
        <w:t>●, 2023</w:t>
      </w:r>
    </w:p>
    <w:p w14:paraId="31CF580B" w14:textId="7A7159B6" w:rsidR="006D65E5" w:rsidRPr="00AE6DDA" w:rsidRDefault="006D65E5">
      <w:pPr>
        <w:rPr>
          <w:rFonts w:ascii="Times New Roman" w:hAnsi="Times New Roman" w:cs="Times New Roman"/>
          <w:sz w:val="22"/>
          <w:szCs w:val="22"/>
        </w:rPr>
      </w:pPr>
    </w:p>
    <w:sectPr w:rsidR="006D65E5" w:rsidRPr="00AE6DDA" w:rsidSect="004F4B6F">
      <w:footerReference w:type="default" r:id="rId7"/>
      <w:pgSz w:w="12240" w:h="15840"/>
      <w:pgMar w:top="1440" w:right="1440" w:bottom="1440" w:left="144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F09C" w14:textId="77777777" w:rsidR="004F4B6F" w:rsidRDefault="004F4B6F" w:rsidP="004F4B6F">
      <w:r>
        <w:separator/>
      </w:r>
    </w:p>
  </w:endnote>
  <w:endnote w:type="continuationSeparator" w:id="0">
    <w:p w14:paraId="6E97A3B3" w14:textId="77777777" w:rsidR="004F4B6F" w:rsidRDefault="004F4B6F" w:rsidP="004F4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8D8C" w14:textId="6716C521" w:rsidR="004F4B6F" w:rsidRPr="004F4B6F" w:rsidRDefault="004F4B6F" w:rsidP="004F4B6F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4F4B6F">
      <w:rPr>
        <w:rFonts w:ascii="Times New Roman" w:hAnsi="Times New Roman" w:cs="Times New Roman"/>
        <w:sz w:val="20"/>
        <w:szCs w:val="20"/>
      </w:rPr>
      <w:fldChar w:fldCharType="begin"/>
    </w:r>
    <w:r w:rsidRPr="004F4B6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4F4B6F">
      <w:rPr>
        <w:rFonts w:ascii="Times New Roman" w:hAnsi="Times New Roman" w:cs="Times New Roman"/>
        <w:sz w:val="20"/>
        <w:szCs w:val="20"/>
      </w:rPr>
      <w:fldChar w:fldCharType="separate"/>
    </w:r>
    <w:r w:rsidRPr="004F4B6F">
      <w:rPr>
        <w:rFonts w:ascii="Times New Roman" w:hAnsi="Times New Roman" w:cs="Times New Roman"/>
        <w:noProof/>
        <w:sz w:val="20"/>
        <w:szCs w:val="20"/>
      </w:rPr>
      <w:t>1</w:t>
    </w:r>
    <w:r w:rsidRPr="004F4B6F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A693" w14:textId="77777777" w:rsidR="004F4B6F" w:rsidRDefault="004F4B6F" w:rsidP="004F4B6F">
      <w:r>
        <w:separator/>
      </w:r>
    </w:p>
  </w:footnote>
  <w:footnote w:type="continuationSeparator" w:id="0">
    <w:p w14:paraId="3C4690A9" w14:textId="77777777" w:rsidR="004F4B6F" w:rsidRDefault="004F4B6F" w:rsidP="004F4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E22"/>
    <w:rsid w:val="000070C1"/>
    <w:rsid w:val="00017F96"/>
    <w:rsid w:val="0005486F"/>
    <w:rsid w:val="00057D1B"/>
    <w:rsid w:val="00154B10"/>
    <w:rsid w:val="00184DAE"/>
    <w:rsid w:val="001926BD"/>
    <w:rsid w:val="00293640"/>
    <w:rsid w:val="00361A92"/>
    <w:rsid w:val="003854EE"/>
    <w:rsid w:val="003A3416"/>
    <w:rsid w:val="003A4D22"/>
    <w:rsid w:val="003B0CAC"/>
    <w:rsid w:val="00437F85"/>
    <w:rsid w:val="004C19C1"/>
    <w:rsid w:val="004D6874"/>
    <w:rsid w:val="004F4B6F"/>
    <w:rsid w:val="00512E9F"/>
    <w:rsid w:val="00567DCE"/>
    <w:rsid w:val="005F7CB2"/>
    <w:rsid w:val="00610BDC"/>
    <w:rsid w:val="00615BFB"/>
    <w:rsid w:val="00617D74"/>
    <w:rsid w:val="0062319E"/>
    <w:rsid w:val="006C296A"/>
    <w:rsid w:val="006C2F51"/>
    <w:rsid w:val="006D65E5"/>
    <w:rsid w:val="00713F83"/>
    <w:rsid w:val="007357D1"/>
    <w:rsid w:val="007B170A"/>
    <w:rsid w:val="007B5B10"/>
    <w:rsid w:val="008748DE"/>
    <w:rsid w:val="00891680"/>
    <w:rsid w:val="008C5280"/>
    <w:rsid w:val="00954F52"/>
    <w:rsid w:val="00971598"/>
    <w:rsid w:val="009A0633"/>
    <w:rsid w:val="009A1861"/>
    <w:rsid w:val="009E7613"/>
    <w:rsid w:val="00A61B9C"/>
    <w:rsid w:val="00AE6DDA"/>
    <w:rsid w:val="00B73E69"/>
    <w:rsid w:val="00B74065"/>
    <w:rsid w:val="00BD4339"/>
    <w:rsid w:val="00C12A69"/>
    <w:rsid w:val="00C30C38"/>
    <w:rsid w:val="00CC6E22"/>
    <w:rsid w:val="00CF3BF8"/>
    <w:rsid w:val="00D21AD3"/>
    <w:rsid w:val="00D93FDE"/>
    <w:rsid w:val="00DB7AD3"/>
    <w:rsid w:val="00DD26AF"/>
    <w:rsid w:val="00E10F0A"/>
    <w:rsid w:val="00E24B0E"/>
    <w:rsid w:val="00E277F2"/>
    <w:rsid w:val="00E910FD"/>
    <w:rsid w:val="00EA6584"/>
    <w:rsid w:val="00FD7824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223B3E5"/>
  <w15:docId w15:val="{0880DAF8-3506-42D6-A192-C6220F3E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Theme="minorHAnsi" w:hAnsi="CG 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DD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G Times" w:eastAsiaTheme="majorEastAsia" w:hAnsi="CG Times" w:cstheme="majorBidi"/>
      <w:b/>
      <w:bCs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jc w:val="center"/>
    </w:pPr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color w:val="000000" w:themeColor="text1"/>
      <w:szCs w:val="5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G Times" w:eastAsiaTheme="majorEastAsia" w:hAnsi="CG Times" w:cstheme="majorBidi"/>
      <w:b/>
      <w:bCs/>
      <w:color w:val="000000" w:themeColor="text1"/>
      <w:sz w:val="24"/>
    </w:rPr>
  </w:style>
  <w:style w:type="character" w:styleId="Strong">
    <w:name w:val="Strong"/>
    <w:basedOn w:val="DefaultParagraphFont"/>
    <w:uiPriority w:val="22"/>
    <w:semiHidden/>
    <w:unhideWhenUsed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b/>
      <w:bCs/>
      <w:iCs/>
      <w:color w:val="4F81BD" w:themeColor="accent1"/>
    </w:rPr>
  </w:style>
  <w:style w:type="paragraph" w:customStyle="1" w:styleId="Indent5">
    <w:name w:val="Indent5"/>
    <w:basedOn w:val="Normal"/>
    <w:qFormat/>
    <w:pPr>
      <w:ind w:left="720"/>
    </w:pPr>
  </w:style>
  <w:style w:type="paragraph" w:customStyle="1" w:styleId="DoubleIndent5">
    <w:name w:val="DoubleIndent5"/>
    <w:basedOn w:val="Normal"/>
    <w:qFormat/>
    <w:pPr>
      <w:ind w:left="720" w:right="720"/>
    </w:pPr>
  </w:style>
  <w:style w:type="paragraph" w:customStyle="1" w:styleId="IncreaseIndent5">
    <w:name w:val="IncreaseIndent5"/>
    <w:basedOn w:val="Indent5"/>
    <w:qFormat/>
    <w:pPr>
      <w:ind w:left="1440"/>
    </w:pPr>
  </w:style>
  <w:style w:type="paragraph" w:customStyle="1" w:styleId="IncreaseDoubleIndent5">
    <w:name w:val="IncreaseDoubleIndent5"/>
    <w:basedOn w:val="DoubleIndent5"/>
    <w:qFormat/>
    <w:pPr>
      <w:ind w:left="1440" w:right="1440"/>
    </w:pPr>
  </w:style>
  <w:style w:type="paragraph" w:customStyle="1" w:styleId="DecreaseIndent5">
    <w:name w:val="DecreaseIndent5"/>
    <w:basedOn w:val="Indent5"/>
    <w:qFormat/>
    <w:pPr>
      <w:ind w:left="0"/>
    </w:pPr>
  </w:style>
  <w:style w:type="paragraph" w:customStyle="1" w:styleId="DecreaseDoubleIndent5">
    <w:name w:val="DecreaseDoubleIndent5"/>
    <w:basedOn w:val="DoubleIndent5"/>
    <w:qFormat/>
    <w:pPr>
      <w:ind w:left="0" w:right="0"/>
    </w:pPr>
  </w:style>
  <w:style w:type="paragraph" w:styleId="BodyText">
    <w:name w:val="Body Text"/>
    <w:basedOn w:val="Normal"/>
    <w:link w:val="BodyTextChar"/>
    <w:uiPriority w:val="1"/>
    <w:qFormat/>
    <w:rsid w:val="00CC6E22"/>
    <w:pPr>
      <w:spacing w:after="200"/>
      <w:ind w:firstLine="216"/>
      <w:jc w:val="both"/>
    </w:pPr>
    <w:rPr>
      <w:rFonts w:asciiTheme="minorHAnsi" w:hAnsiTheme="minorHAnsi" w:cstheme="minorHAns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C6E22"/>
    <w:rPr>
      <w:rFonts w:asciiTheme="minorHAnsi" w:hAnsiTheme="minorHAnsi"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4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B6F"/>
  </w:style>
  <w:style w:type="paragraph" w:styleId="Footer">
    <w:name w:val="footer"/>
    <w:basedOn w:val="Normal"/>
    <w:link w:val="FooterChar"/>
    <w:uiPriority w:val="99"/>
    <w:unhideWhenUsed/>
    <w:rsid w:val="004F4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50BA-4D57-400F-93DE-0A6A60E1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Brown</dc:creator>
  <cp:keywords/>
  <dc:description/>
  <cp:lastModifiedBy>Gary Brown</cp:lastModifiedBy>
  <cp:revision>7</cp:revision>
  <dcterms:created xsi:type="dcterms:W3CDTF">2023-04-16T16:03:00Z</dcterms:created>
  <dcterms:modified xsi:type="dcterms:W3CDTF">2023-04-16T20:54:00Z</dcterms:modified>
</cp:coreProperties>
</file>