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ED57" w14:textId="6DD2B69E" w:rsidR="00CC6E22" w:rsidRPr="00E10F0A" w:rsidRDefault="008170F5" w:rsidP="00CC6E22">
      <w:pPr>
        <w:pStyle w:val="BodyText"/>
        <w:spacing w:before="120" w:after="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[</w:t>
      </w:r>
      <w:r w:rsidRPr="008170F5">
        <w:rPr>
          <w:rFonts w:ascii="Times New Roman" w:eastAsia="Times New Roman" w:hAnsi="Times New Roman" w:cs="Times New Roman"/>
          <w:b/>
          <w:u w:val="single"/>
        </w:rPr>
        <w:t>Company Name</w:t>
      </w:r>
      <w:r>
        <w:rPr>
          <w:rFonts w:ascii="Times New Roman" w:eastAsia="Times New Roman" w:hAnsi="Times New Roman" w:cs="Times New Roman"/>
          <w:b/>
        </w:rPr>
        <w:t>]</w:t>
      </w:r>
    </w:p>
    <w:p w14:paraId="3BEDB784" w14:textId="193D1BFA" w:rsidR="00CC6E22" w:rsidRPr="00E10F0A" w:rsidRDefault="00CC6E22" w:rsidP="00CC6E22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Incentive Compensation Recoupment Policy</w:t>
      </w:r>
      <w:r w:rsidR="00017F96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(the “Policy”</w:t>
      </w:r>
      <w:r w:rsidR="00971598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</w:t>
      </w:r>
    </w:p>
    <w:p w14:paraId="216F9B0A" w14:textId="77777777" w:rsidR="00FD7824" w:rsidRPr="00E10F0A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16F1605A" w14:textId="2C6301EC" w:rsidR="00CC6E22" w:rsidRPr="00E10F0A" w:rsidRDefault="00CC6E22" w:rsidP="00954F52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1. Recoupment</w:t>
      </w:r>
      <w:r w:rsidR="00FD7824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If </w:t>
      </w:r>
      <w:r w:rsidR="008170F5">
        <w:rPr>
          <w:rFonts w:ascii="Times New Roman" w:eastAsia="Times New Roman" w:hAnsi="Times New Roman" w:cs="Times New Roman"/>
          <w:color w:val="000000"/>
          <w:sz w:val="20"/>
          <w:szCs w:val="20"/>
        </w:rPr>
        <w:t>[</w:t>
      </w:r>
      <w:r w:rsidR="008170F5" w:rsidRPr="008170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Company Name</w:t>
      </w:r>
      <w:r w:rsidR="008170F5"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the “Company”) is required to </w:t>
      </w:r>
      <w:r w:rsidR="00DB7AD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prepare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 Restatement</w:t>
      </w:r>
      <w:r w:rsidR="00FF14E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the 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Company’s </w:t>
      </w:r>
      <w:r w:rsidR="00610BDC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board of directors (the “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Board</w:t>
      </w:r>
      <w:r w:rsidR="00610BDC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”)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shall, unless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the </w:t>
      </w:r>
      <w:r w:rsidR="00610BDC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Board’s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Compensation Committee determines it </w:t>
      </w:r>
      <w:r w:rsidR="00E10F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be </w:t>
      </w:r>
      <w:r w:rsidR="00DB7AD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Impracticable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</w:t>
      </w:r>
      <w:r w:rsid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>take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BD4339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reasonably prompt</w:t>
      </w:r>
      <w:r w:rsid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action to recoup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all Recoverable Compensation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37F85">
        <w:rPr>
          <w:rFonts w:ascii="Times New Roman" w:eastAsia="Times New Roman" w:hAnsi="Times New Roman" w:cs="Times New Roman"/>
          <w:color w:val="000000"/>
          <w:sz w:val="20"/>
          <w:szCs w:val="20"/>
        </w:rPr>
        <w:t>from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any Covered Person.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Subject to applicable law, the Board may seek to recoup Recoverable Compensation by requiring a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Covered Person to repay such amount to the Company;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by adding “holdback” or deferral policies to incentive compensation; by adding post-vesting “holding” or “no transfer” policies to equity awards;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by set-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off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 Covered Person’s other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compensation; by reducing future compensation; or by such other means or combination of means as the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37F85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Board, in its sole discretion, determines to be appropriate.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This Policy is in addition to (and not in lieu of) any right of repayment, forfeiture or 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off-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set against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any Covered Person that may be available under applicable law or otherwise (whether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implemented prior to or </w:t>
      </w:r>
      <w:r w:rsidR="00A61B9C">
        <w:rPr>
          <w:rFonts w:ascii="Times New Roman" w:eastAsia="Times New Roman" w:hAnsi="Times New Roman" w:cs="Times New Roman"/>
          <w:color w:val="000000"/>
          <w:sz w:val="20"/>
          <w:szCs w:val="20"/>
        </w:rPr>
        <w:t>after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adoption of th</w:t>
      </w:r>
      <w:r w:rsidR="00437F85">
        <w:rPr>
          <w:rFonts w:ascii="Times New Roman" w:eastAsia="Times New Roman" w:hAnsi="Times New Roman" w:cs="Times New Roman"/>
          <w:color w:val="000000"/>
          <w:sz w:val="20"/>
          <w:szCs w:val="20"/>
        </w:rPr>
        <w:t>is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Policy)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.  The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Board may, in its sole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discretion and in the exercise of its business judgment, determine whether and to what extent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additional action is appropriate to address the circumstances surrounding </w:t>
      </w:r>
      <w:r w:rsidR="00A61B9C">
        <w:rPr>
          <w:rFonts w:ascii="Times New Roman" w:eastAsia="Times New Roman" w:hAnsi="Times New Roman" w:cs="Times New Roman"/>
          <w:color w:val="000000"/>
          <w:sz w:val="20"/>
          <w:szCs w:val="20"/>
        </w:rPr>
        <w:t>any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Restatement to minimize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the likelihood of any recurrence and to impose such other discipline as it deems appropriate.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BEC7974" w14:textId="77777777" w:rsidR="00FD7824" w:rsidRPr="00E10F0A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2100601A" w14:textId="6FB49F76" w:rsidR="00CC6E22" w:rsidRPr="00E10F0A" w:rsidRDefault="00CC6E2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2. Administration of Policy</w:t>
      </w:r>
      <w:r w:rsidR="00FD7824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The Board shall have full authority to administer</w:t>
      </w:r>
      <w:r w:rsidR="00361A92">
        <w:rPr>
          <w:rFonts w:ascii="Times New Roman" w:eastAsia="Times New Roman" w:hAnsi="Times New Roman" w:cs="Times New Roman"/>
          <w:color w:val="000000"/>
          <w:sz w:val="20"/>
          <w:szCs w:val="20"/>
        </w:rPr>
        <w:t>, amend or terminate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this Policy. The Board shall, subject to the provisions of this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Policy, make such determinations and interpretations and take such actions in connection with this Policy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as it deems necessary, appropriate or advisable. All determinations and interpretations made by the Board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shall be </w:t>
      </w:r>
      <w:r w:rsidR="00017F96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final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 binding and conclusive.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The Board may delegate any of its powers under this Policy to the Compensation Committee of the Board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or any subcommittee or delegate thereof.</w:t>
      </w:r>
    </w:p>
    <w:p w14:paraId="3260575B" w14:textId="77777777" w:rsidR="00FD7824" w:rsidRPr="00E10F0A" w:rsidRDefault="00FD7824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14:paraId="78A2D641" w14:textId="56D1D874" w:rsidR="00CC6E22" w:rsidRPr="00E10F0A" w:rsidRDefault="00CC6E2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 xml:space="preserve">3. Acknowledgement by </w:t>
      </w:r>
      <w:r w:rsidR="000070C1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Executive Officers</w:t>
      </w:r>
      <w:r w:rsidR="00FD7824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The Board shall provide notice </w:t>
      </w:r>
      <w:r w:rsidR="00512E9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and seek written acknowledgement of this Policy from each</w:t>
      </w:r>
      <w:r w:rsidR="000070C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Executive Officer</w:t>
      </w:r>
      <w:r w:rsidR="00361A9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provided that the failure to provide such notice or obtain such acknowledgement shall have no impact on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the applicability or enforceability of this Policy.</w:t>
      </w:r>
    </w:p>
    <w:p w14:paraId="1631FDC7" w14:textId="77777777" w:rsidR="00FD7824" w:rsidRPr="00E10F0A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16B9DE8C" w14:textId="644B5B9D" w:rsidR="00CC6E22" w:rsidRPr="00E10F0A" w:rsidRDefault="00CC6E22" w:rsidP="00954F52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 xml:space="preserve">4. </w:t>
      </w:r>
      <w:r w:rsidR="00CF3BF8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 Indemnification</w:t>
      </w:r>
      <w:r w:rsidR="00FD7824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r w:rsidR="00CF3BF8" w:rsidRPr="00E10F0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Notwithstanding the terms of any </w:t>
      </w:r>
      <w:r w:rsidR="00954F52" w:rsidRPr="00E10F0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of the Company’s organizational documents, any corporate policy or any contract, no Covered Person shall be indemnified against the loss of any Recoverable Compensation.  </w:t>
      </w:r>
    </w:p>
    <w:p w14:paraId="66791EA7" w14:textId="77777777" w:rsidR="00FD7824" w:rsidRPr="00E10F0A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6BBC48A4" w14:textId="4B35698E" w:rsidR="00CC6E22" w:rsidRPr="00E10F0A" w:rsidRDefault="00361A9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. Disclosures</w:t>
      </w:r>
      <w:r w:rsidR="00FD7824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r w:rsidR="0005486F" w:rsidRPr="00E10F0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The Company shall make all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disclosures and </w:t>
      </w:r>
      <w:r w:rsidR="0005486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filings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with respect to this Policy</w:t>
      </w:r>
      <w:r w:rsidR="00E277F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maintain all documents and records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05486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that are required by </w:t>
      </w:r>
      <w:r w:rsidR="003854E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applicable rules and forms of the U.S. Securities and Exchange Commission (the “SEC”)  (including, without limitation,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Rule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10D-1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promulgated under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the Securities Exchange Act of 1934, as amended</w:t>
      </w:r>
      <w:r w:rsidR="0005486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(the “Exchange Act”)</w:t>
      </w:r>
      <w:r w:rsidR="003854E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05486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954F5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any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applicable exchange listing</w:t>
      </w:r>
      <w:r w:rsidR="00FD782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standard.</w:t>
      </w:r>
    </w:p>
    <w:p w14:paraId="66069F8B" w14:textId="77777777" w:rsidR="00FD7824" w:rsidRPr="00E10F0A" w:rsidRDefault="00FD7824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14:paraId="5AB40402" w14:textId="48412A67" w:rsidR="00CC6E22" w:rsidRPr="00E10F0A" w:rsidRDefault="00361A9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 xml:space="preserve">. </w:t>
      </w:r>
      <w:r w:rsidR="004F4B6F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Definitions</w:t>
      </w:r>
      <w:r w:rsidR="00FD7824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 </w:t>
      </w:r>
      <w:r w:rsidR="0005486F" w:rsidRPr="00E10F0A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In addition to terms otherwise defined in this Policy, the following terms, when used in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this Policy, shall have the following meanings:</w:t>
      </w:r>
    </w:p>
    <w:p w14:paraId="327AB0CD" w14:textId="77777777" w:rsidR="00610BDC" w:rsidRPr="00E10F0A" w:rsidRDefault="00610BDC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7CB8DFC4" w14:textId="156288FF" w:rsidR="00CC6E22" w:rsidRPr="00E10F0A" w:rsidRDefault="001926BD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Applicable Period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”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means the three complete</w:t>
      </w:r>
      <w:r w:rsidR="005F7CB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4F4B6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fiscal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years preceding the </w:t>
      </w:r>
      <w:r w:rsidR="005F7CB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earlier of: 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(</w:t>
      </w:r>
      <w:proofErr w:type="spellStart"/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) 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date</w:t>
      </w:r>
      <w:r w:rsidR="00361A9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the 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Board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a committee of the 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Board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, or the officer or officers of the 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Company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authorized to take such action if 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Board 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action is not required, concludes, or reasonably should have concluded, that the 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Company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is required to prepare a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Restatement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; or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(ii) the 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date a court, regulator, or other legally authorized body directs the 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Company </w:t>
      </w:r>
      <w:r w:rsidR="00EA6584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to prepare a</w:t>
      </w:r>
      <w:r w:rsidR="00713F83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Restatement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14:paraId="4C004452" w14:textId="77777777" w:rsidR="004F4B6F" w:rsidRPr="00E10F0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14:paraId="4DE954C2" w14:textId="0F7DBB22" w:rsidR="00CC6E22" w:rsidRPr="00E10F0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Covered Person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”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means any person who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receive</w:t>
      </w:r>
      <w:r w:rsidR="00361A92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Recoverable Compensation.</w:t>
      </w:r>
    </w:p>
    <w:p w14:paraId="505DBDB9" w14:textId="77777777" w:rsidR="004F4B6F" w:rsidRPr="00E10F0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14:paraId="6FC49C8E" w14:textId="4ED2A442" w:rsidR="00CC6E22" w:rsidRPr="00E10F0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 xml:space="preserve">Executive 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Officer”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>includes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the Company’s president, principal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financial officer, principal accounting officer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(or if there is no such accounting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officer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 the controller), any vice-president of the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Company in charge of a principal business unit, division, or function (such as sales, administration, or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finance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), any other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officer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who performs a policy-making function, or any other person </w:t>
      </w:r>
      <w:r w:rsidR="00BD4339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(including any executive officer of the Company’s affiliates)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who performs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similar policy-making functions for the Company.</w:t>
      </w:r>
    </w:p>
    <w:p w14:paraId="19D44C84" w14:textId="77777777" w:rsidR="004F4B6F" w:rsidRPr="00E10F0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</w:p>
    <w:p w14:paraId="3F2CD280" w14:textId="5D1A0B6E" w:rsidR="00CC6E22" w:rsidRPr="00E10F0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Financial Reporting Measure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”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means a measure that is determined and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presented in accordance with the accounting principles used in preparing the Company’s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financial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statements (including “non-GAAP”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financial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lastRenderedPageBreak/>
        <w:t>measures, such as those appearing in earnings releases</w:t>
      </w:r>
      <w:r w:rsidR="00361A92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 and any measure that is derived wholly or in part from such measure. Examples of Financial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Reporting Measures include measures based on: revenues, net income, operating income,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financial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ratios,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EBITDA, liquidity measures, return measures (such as return on assets),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profitability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of one or more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segments, sales per square foot, same store sales, revenue per user, and cost per employee. Stock price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and total shareholder return</w:t>
      </w:r>
      <w:r w:rsidR="00E277F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(“TSR”)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E277F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also are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Financial Reporting Measures.</w:t>
      </w:r>
    </w:p>
    <w:p w14:paraId="09B4CF14" w14:textId="77777777" w:rsidR="00017F96" w:rsidRPr="00E10F0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25B20383" w14:textId="70EFB0E0" w:rsidR="00DB7AD3" w:rsidRPr="00E10F0A" w:rsidRDefault="00DB7AD3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I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mpracticable”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means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after exercising a normal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due process review of all the relevant facts and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184DA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ircumstances and taking all steps required by Exchange Act Rule 10D-1 and any applicable exchange listing standard, the Compensation Committee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determines that recovery of the Incentive-Based Compensation is impracticable because</w:t>
      </w:r>
      <w:r w:rsidR="00184DA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(i) 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has </w:t>
      </w:r>
      <w:r w:rsidR="007357D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determine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7357D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</w:t>
      </w:r>
      <w:r w:rsidR="00184DA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the direct expense that the Company would pay to a third party to assist in recovering the Incentive-Based Compensation</w:t>
      </w:r>
      <w:r w:rsidR="007357D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would exceed the amount to be recovered; (ii)</w:t>
      </w:r>
      <w:r w:rsidR="00184DA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it has </w:t>
      </w:r>
      <w:r w:rsidR="007357D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conclude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7357D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the recovery of the Incentive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7357D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Based Compensation would violate home country law adopted prior to November 28, 2022; 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or (iii) it has determined that the recovery of Incentive-Based Compensation </w:t>
      </w:r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would </w:t>
      </w:r>
      <w:r w:rsidR="00DD26AF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cause a tax-qualified retirement plan, under which </w:t>
      </w:r>
      <w:r w:rsidR="00DD26AF" w:rsidRPr="00E10F0A">
        <w:rPr>
          <w:rFonts w:ascii="Times New Roman" w:hAnsi="Times New Roman" w:cs="Times New Roman"/>
          <w:sz w:val="20"/>
          <w:szCs w:val="20"/>
        </w:rPr>
        <w:t xml:space="preserve">benefits are broadly available to </w:t>
      </w:r>
      <w:r w:rsidR="009A1861">
        <w:rPr>
          <w:rFonts w:ascii="Times New Roman" w:hAnsi="Times New Roman" w:cs="Times New Roman"/>
          <w:sz w:val="20"/>
          <w:szCs w:val="20"/>
        </w:rPr>
        <w:t xml:space="preserve">the Company’s </w:t>
      </w:r>
      <w:r w:rsidR="00DD26AF" w:rsidRPr="00E10F0A">
        <w:rPr>
          <w:rFonts w:ascii="Times New Roman" w:hAnsi="Times New Roman" w:cs="Times New Roman"/>
          <w:sz w:val="20"/>
          <w:szCs w:val="20"/>
        </w:rPr>
        <w:t>employees, to fail to meet the requirements of 26 U.S.C. 401(a)(13) or 26 U.S.C. 411(a) and regulations thereunder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.</w:t>
      </w:r>
    </w:p>
    <w:p w14:paraId="57BEE74E" w14:textId="77777777" w:rsidR="00DB7AD3" w:rsidRPr="00E10F0A" w:rsidRDefault="00DB7AD3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19F6876" w14:textId="33F54CB9" w:rsidR="00CC6E22" w:rsidRPr="00E10F0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Incentive-Based Compensation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”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>includes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any compensation that is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granted, earned, or vested based wholly or in part upon the attainment of a Financial Reporting Measure</w:t>
      </w:r>
      <w:r w:rsidR="00CF3BF8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however it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does not include</w:t>
      </w:r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>: (</w:t>
      </w:r>
      <w:proofErr w:type="spellStart"/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base salaries</w:t>
      </w:r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>; (ii)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discretionary cash bonuses</w:t>
      </w:r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>; (iii)</w:t>
      </w:r>
      <w:r w:rsidR="003A341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awards (either cash or equity) that are based upon subjective, strategic or operational standards</w:t>
      </w:r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and </w:t>
      </w:r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(iv)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equity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awards that vest solely on the passage of time.</w:t>
      </w:r>
    </w:p>
    <w:p w14:paraId="4F43B084" w14:textId="77777777" w:rsidR="00017F96" w:rsidRPr="00E10F0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50B538FA" w14:textId="4BAF08F2" w:rsidR="00CC6E22" w:rsidRPr="00E10F0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Received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” –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Incentive-Based Compensation is deemed “Received” in </w:t>
      </w:r>
      <w:r w:rsidR="00617D7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any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Company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fiscal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period during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which the Financial Reporting Measure 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specified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in the Incentive-Based Compensation award is attained,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even if the payment or grant of the Incentive-Based Compensation occurs after the end of that period.</w:t>
      </w:r>
      <w:r w:rsidR="00154B10" w:rsidRPr="00E10F0A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54A49789" w14:textId="77777777" w:rsidR="00017F96" w:rsidRPr="00E10F0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61F28EE6" w14:textId="4EAAD14D" w:rsidR="00CC6E22" w:rsidRPr="00E10F0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Recoverable Compensation</w:t>
      </w:r>
      <w:r w:rsidRPr="00E10F0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”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means </w:t>
      </w:r>
      <w:r w:rsidR="003A4D2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Incentive-Based</w:t>
      </w:r>
      <w:r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Compensation (calculated on a pre-tax basis) Received </w:t>
      </w:r>
      <w:r w:rsidR="00617D7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after [</w:t>
      </w:r>
      <w:r w:rsidR="00617D74" w:rsidRPr="008170F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EFFECTIVE DATE OF LISTING STANDARD</w:t>
      </w:r>
      <w:r w:rsidR="00617D74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] </w:t>
      </w:r>
      <w:r w:rsidR="003A4D2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by</w:t>
      </w:r>
      <w:r w:rsidR="000070C1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person: (i) after beginning service as an Executive Officer; (ii) who served as an Executive Officer at any time during the performance period for that Incentive-Based Compensation; (iii) while the Company had a class of securities listed on a national securities exchange or national securities association; and 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(iv) during the Applicable Period</w:t>
      </w:r>
      <w:r w:rsid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that exceeded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the amount of 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ncentive-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ased 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ompensation that otherwise would have been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eceived had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the amount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been determined based on the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Financial Performing Measures, as </w:t>
      </w:r>
      <w:r w:rsidR="009A18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reflected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in the Restatement</w:t>
      </w:r>
      <w:r w:rsidR="0062319E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With respect to Incentive-Based Compensation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based on stock price or </w:t>
      </w:r>
      <w:r w:rsidR="00E277F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TSR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 whe</w:t>
      </w:r>
      <w:r w:rsidR="00E277F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the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amount of erroneously awarded compensation is not subject to mathematical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recalculation directly from the information in an accounting restatement</w:t>
      </w:r>
      <w:r w:rsidR="005F7CB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, the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amount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must be based on a reasonable estimate of the effect of the </w:t>
      </w:r>
      <w:r w:rsidR="005F7CB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Restatement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on the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stock price or </w:t>
      </w:r>
      <w:r w:rsidR="005F7CB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TSR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upon which the </w:t>
      </w:r>
      <w:r w:rsidR="005F7CB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Incentive-Based Compensation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was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B170A" w:rsidRPr="00E10F0A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received</w:t>
      </w:r>
      <w:r w:rsidR="005F7CB2" w:rsidRPr="00E10F0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E206A2C" w14:textId="77777777" w:rsidR="00017F96" w:rsidRPr="00E10F0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</w:pPr>
    </w:p>
    <w:p w14:paraId="0A4F9C5A" w14:textId="5120EB06" w:rsidR="00CC6E22" w:rsidRPr="00D93FDE" w:rsidRDefault="004D6874" w:rsidP="00567DCE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21A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“</w:t>
      </w:r>
      <w:r w:rsidR="00CC6E22" w:rsidRPr="00D21A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x-none"/>
        </w:rPr>
        <w:t>Restatement</w:t>
      </w:r>
      <w:r w:rsidRPr="00D21AD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” </w:t>
      </w:r>
      <w:r w:rsidR="00CC6E22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means an accounting restatement of any of the Company’s </w:t>
      </w:r>
      <w:r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financial </w:t>
      </w:r>
      <w:r w:rsidR="00CC6E22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statements due to the Company’s material noncompliance</w:t>
      </w:r>
      <w:r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C6E22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with any </w:t>
      </w:r>
      <w:r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financial </w:t>
      </w:r>
      <w:r w:rsidR="00CC6E22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reporting requirement under U.S. securities laws, </w:t>
      </w:r>
      <w:r w:rsidR="003854EE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including any required accounting restatement to correct an error in previously issued financial statements that is material to the previously issued financial statements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(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often 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referred to as 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“Big R” restatement)</w:t>
      </w:r>
      <w:r w:rsidR="003854EE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, or that would result in a material misstatement if the error were corrected in the current period or left uncorrected in the current period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(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>often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referred to as 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“little r” restatement</w:t>
      </w:r>
      <w:r w:rsidR="004C19C1" w:rsidRPr="00D21AD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  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>A Restatement does not include situations in which financial statement</w:t>
      </w:r>
      <w:r w:rsidR="009E76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changes did not result from material 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non-compliance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with financial reporting requirements, such as, but not limited to</w:t>
      </w:r>
      <w:r w:rsidR="00D93F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retrospective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: (</w:t>
      </w:r>
      <w:proofErr w:type="spellStart"/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</w:t>
      </w:r>
      <w:proofErr w:type="spellEnd"/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) application of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a change in accounting principles; (ii) revision to reportable segment information due to a change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in the structure of the Company’s internal organization; (iii) reclassification due to a discontinued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operation; (iv) application of a change in reporting entity, such as from a reorganization of entities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under common control; (v) adjustment to provision amounts in connection with a prior business</w:t>
      </w:r>
      <w:r w:rsidR="00567DC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21AD3" w:rsidRPr="00D21AD3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combination; and (vi) revision for stock splits,</w:t>
      </w:r>
      <w:r w:rsidR="00D93FD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stock dividends, reverse stock splits or other changes in capital structure.</w:t>
      </w:r>
    </w:p>
    <w:p w14:paraId="69D6151A" w14:textId="420D7E03" w:rsidR="00057D1B" w:rsidRPr="00E10F0A" w:rsidRDefault="00057D1B" w:rsidP="001926BD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1AA8128F" w14:textId="3CDCA6C8" w:rsidR="00CC6E22" w:rsidRPr="00E10F0A" w:rsidRDefault="00CC6E22">
      <w:pPr>
        <w:rPr>
          <w:rFonts w:ascii="Times New Roman" w:hAnsi="Times New Roman" w:cs="Times New Roman"/>
          <w:sz w:val="20"/>
          <w:szCs w:val="20"/>
        </w:rPr>
      </w:pPr>
    </w:p>
    <w:p w14:paraId="77F70E49" w14:textId="44F81F38" w:rsidR="00CC6E22" w:rsidRPr="00E10F0A" w:rsidRDefault="00CC6E22">
      <w:pPr>
        <w:rPr>
          <w:rFonts w:ascii="Times New Roman" w:hAnsi="Times New Roman" w:cs="Times New Roman"/>
          <w:sz w:val="20"/>
          <w:szCs w:val="20"/>
        </w:rPr>
      </w:pPr>
      <w:r w:rsidRPr="00E10F0A">
        <w:rPr>
          <w:rFonts w:ascii="Times New Roman" w:hAnsi="Times New Roman" w:cs="Times New Roman"/>
          <w:sz w:val="20"/>
          <w:szCs w:val="20"/>
        </w:rPr>
        <w:t>Adopted by the Board of Directors on ●, 202</w:t>
      </w:r>
      <w:r w:rsidR="008170F5">
        <w:rPr>
          <w:rFonts w:ascii="Times New Roman" w:hAnsi="Times New Roman" w:cs="Times New Roman"/>
          <w:sz w:val="20"/>
          <w:szCs w:val="20"/>
        </w:rPr>
        <w:t>3.</w:t>
      </w:r>
    </w:p>
    <w:p w14:paraId="31CF580B" w14:textId="7A7159B6" w:rsidR="006D65E5" w:rsidRPr="00E10F0A" w:rsidRDefault="006D65E5">
      <w:pPr>
        <w:rPr>
          <w:rFonts w:ascii="Times New Roman" w:hAnsi="Times New Roman" w:cs="Times New Roman"/>
          <w:sz w:val="20"/>
          <w:szCs w:val="20"/>
        </w:rPr>
      </w:pPr>
    </w:p>
    <w:sectPr w:rsidR="006D65E5" w:rsidRPr="00E10F0A" w:rsidSect="004F4B6F">
      <w:footerReference w:type="default" r:id="rId7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F09C" w14:textId="77777777" w:rsidR="004F4B6F" w:rsidRDefault="004F4B6F" w:rsidP="004F4B6F">
      <w:r>
        <w:separator/>
      </w:r>
    </w:p>
  </w:endnote>
  <w:endnote w:type="continuationSeparator" w:id="0">
    <w:p w14:paraId="6E97A3B3" w14:textId="77777777" w:rsidR="004F4B6F" w:rsidRDefault="004F4B6F" w:rsidP="004F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8D8C" w14:textId="6716C521" w:rsidR="004F4B6F" w:rsidRPr="004F4B6F" w:rsidRDefault="004F4B6F" w:rsidP="004F4B6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4F4B6F">
      <w:rPr>
        <w:rFonts w:ascii="Times New Roman" w:hAnsi="Times New Roman" w:cs="Times New Roman"/>
        <w:sz w:val="20"/>
        <w:szCs w:val="20"/>
      </w:rPr>
      <w:fldChar w:fldCharType="begin"/>
    </w:r>
    <w:r w:rsidRPr="004F4B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F4B6F">
      <w:rPr>
        <w:rFonts w:ascii="Times New Roman" w:hAnsi="Times New Roman" w:cs="Times New Roman"/>
        <w:sz w:val="20"/>
        <w:szCs w:val="20"/>
      </w:rPr>
      <w:fldChar w:fldCharType="separate"/>
    </w:r>
    <w:r w:rsidRPr="004F4B6F">
      <w:rPr>
        <w:rFonts w:ascii="Times New Roman" w:hAnsi="Times New Roman" w:cs="Times New Roman"/>
        <w:noProof/>
        <w:sz w:val="20"/>
        <w:szCs w:val="20"/>
      </w:rPr>
      <w:t>1</w:t>
    </w:r>
    <w:r w:rsidRPr="004F4B6F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A693" w14:textId="77777777" w:rsidR="004F4B6F" w:rsidRDefault="004F4B6F" w:rsidP="004F4B6F">
      <w:r>
        <w:separator/>
      </w:r>
    </w:p>
  </w:footnote>
  <w:footnote w:type="continuationSeparator" w:id="0">
    <w:p w14:paraId="3C4690A9" w14:textId="77777777" w:rsidR="004F4B6F" w:rsidRDefault="004F4B6F" w:rsidP="004F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22"/>
    <w:rsid w:val="000070C1"/>
    <w:rsid w:val="00017F96"/>
    <w:rsid w:val="0005486F"/>
    <w:rsid w:val="00057D1B"/>
    <w:rsid w:val="00154B10"/>
    <w:rsid w:val="00184DAE"/>
    <w:rsid w:val="001926BD"/>
    <w:rsid w:val="00361A92"/>
    <w:rsid w:val="003854EE"/>
    <w:rsid w:val="003A3416"/>
    <w:rsid w:val="003A4D22"/>
    <w:rsid w:val="003B0CAC"/>
    <w:rsid w:val="00437F85"/>
    <w:rsid w:val="004C19C1"/>
    <w:rsid w:val="004D6874"/>
    <w:rsid w:val="004F4B6F"/>
    <w:rsid w:val="00512E9F"/>
    <w:rsid w:val="00567DCE"/>
    <w:rsid w:val="005F7CB2"/>
    <w:rsid w:val="00610BDC"/>
    <w:rsid w:val="00617D74"/>
    <w:rsid w:val="0062319E"/>
    <w:rsid w:val="00695116"/>
    <w:rsid w:val="006D65E5"/>
    <w:rsid w:val="00713F83"/>
    <w:rsid w:val="007357D1"/>
    <w:rsid w:val="007B170A"/>
    <w:rsid w:val="008170F5"/>
    <w:rsid w:val="00891680"/>
    <w:rsid w:val="008C5280"/>
    <w:rsid w:val="00954F52"/>
    <w:rsid w:val="00971598"/>
    <w:rsid w:val="009A1861"/>
    <w:rsid w:val="009E7613"/>
    <w:rsid w:val="00A61B9C"/>
    <w:rsid w:val="00B73E69"/>
    <w:rsid w:val="00BD4339"/>
    <w:rsid w:val="00CC6E22"/>
    <w:rsid w:val="00CF3BF8"/>
    <w:rsid w:val="00D21AD3"/>
    <w:rsid w:val="00D93FDE"/>
    <w:rsid w:val="00DB7AD3"/>
    <w:rsid w:val="00DD26AF"/>
    <w:rsid w:val="00E10F0A"/>
    <w:rsid w:val="00E24B0E"/>
    <w:rsid w:val="00E277F2"/>
    <w:rsid w:val="00EA6584"/>
    <w:rsid w:val="00FD7824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3B3E5"/>
  <w15:docId w15:val="{0880DAF8-3506-42D6-A192-C6220F3E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HAnsi" w:hAnsi="CG 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jc w:val="center"/>
    </w:pPr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G Times" w:eastAsiaTheme="majorEastAsia" w:hAnsi="CG Times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/>
      <w:bCs/>
      <w:iCs/>
      <w:color w:val="4F81BD" w:themeColor="accent1"/>
    </w:rPr>
  </w:style>
  <w:style w:type="paragraph" w:customStyle="1" w:styleId="Indent5">
    <w:name w:val="Indent5"/>
    <w:basedOn w:val="Normal"/>
    <w:qFormat/>
    <w:pPr>
      <w:ind w:left="720"/>
    </w:pPr>
  </w:style>
  <w:style w:type="paragraph" w:customStyle="1" w:styleId="DoubleIndent5">
    <w:name w:val="DoubleIndent5"/>
    <w:basedOn w:val="Normal"/>
    <w:qFormat/>
    <w:pPr>
      <w:ind w:left="720" w:right="720"/>
    </w:pPr>
  </w:style>
  <w:style w:type="paragraph" w:customStyle="1" w:styleId="IncreaseIndent5">
    <w:name w:val="IncreaseIndent5"/>
    <w:basedOn w:val="Indent5"/>
    <w:qFormat/>
    <w:pPr>
      <w:ind w:left="1440"/>
    </w:pPr>
  </w:style>
  <w:style w:type="paragraph" w:customStyle="1" w:styleId="IncreaseDoubleIndent5">
    <w:name w:val="IncreaseDoubleIndent5"/>
    <w:basedOn w:val="DoubleIndent5"/>
    <w:qFormat/>
    <w:pPr>
      <w:ind w:left="1440" w:right="1440"/>
    </w:pPr>
  </w:style>
  <w:style w:type="paragraph" w:customStyle="1" w:styleId="DecreaseIndent5">
    <w:name w:val="DecreaseIndent5"/>
    <w:basedOn w:val="Indent5"/>
    <w:qFormat/>
    <w:pPr>
      <w:ind w:left="0"/>
    </w:pPr>
  </w:style>
  <w:style w:type="paragraph" w:customStyle="1" w:styleId="DecreaseDoubleIndent5">
    <w:name w:val="DecreaseDoubleIndent5"/>
    <w:basedOn w:val="DoubleIndent5"/>
    <w:qFormat/>
    <w:pPr>
      <w:ind w:left="0" w:right="0"/>
    </w:pPr>
  </w:style>
  <w:style w:type="paragraph" w:styleId="BodyText">
    <w:name w:val="Body Text"/>
    <w:basedOn w:val="Normal"/>
    <w:link w:val="BodyTextChar"/>
    <w:uiPriority w:val="1"/>
    <w:qFormat/>
    <w:rsid w:val="00CC6E22"/>
    <w:pPr>
      <w:spacing w:after="200"/>
      <w:ind w:firstLine="216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C6E22"/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B6F"/>
  </w:style>
  <w:style w:type="paragraph" w:styleId="Footer">
    <w:name w:val="footer"/>
    <w:basedOn w:val="Normal"/>
    <w:link w:val="FooterChar"/>
    <w:uiPriority w:val="99"/>
    <w:unhideWhenUsed/>
    <w:rsid w:val="004F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50BA-4D57-400F-93DE-0A6A60E1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Brown</dc:creator>
  <cp:keywords/>
  <dc:description/>
  <cp:lastModifiedBy>Gary Brown</cp:lastModifiedBy>
  <cp:revision>3</cp:revision>
  <dcterms:created xsi:type="dcterms:W3CDTF">2022-12-20T12:32:00Z</dcterms:created>
  <dcterms:modified xsi:type="dcterms:W3CDTF">2022-12-20T12:35:00Z</dcterms:modified>
</cp:coreProperties>
</file>